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_GBK" w:hAnsi="方正小标宋_GBK" w:eastAsia="方正小标宋_GBK" w:cs="方正小标宋_GBK"/>
          <w:sz w:val="44"/>
          <w:szCs w:val="44"/>
          <w:bdr w:val="none" w:color="auto" w:sz="0" w:space="0"/>
        </w:rPr>
      </w:pPr>
      <w:bookmarkStart w:id="4" w:name="_GoBack"/>
      <w:r>
        <w:rPr>
          <w:rFonts w:hint="eastAsia" w:ascii="方正小标宋_GBK" w:hAnsi="方正小标宋_GBK" w:eastAsia="方正小标宋_GBK" w:cs="方正小标宋_GBK"/>
          <w:sz w:val="44"/>
          <w:szCs w:val="44"/>
          <w:bdr w:val="none" w:color="auto" w:sz="0" w:space="0"/>
        </w:rPr>
        <w:t>法律职业资格管理办法</w:t>
      </w:r>
    </w:p>
    <w:bookmarkEnd w:id="4"/>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楷体" w:hAnsi="楷体" w:eastAsia="楷体" w:cs="楷体"/>
          <w:sz w:val="32"/>
          <w:szCs w:val="32"/>
          <w:bdr w:val="none" w:color="auto" w:sz="0" w:space="0"/>
        </w:rPr>
      </w:pPr>
      <w:r>
        <w:rPr>
          <w:rFonts w:hint="eastAsia" w:ascii="楷体" w:hAnsi="楷体" w:eastAsia="楷体" w:cs="楷体"/>
          <w:sz w:val="32"/>
          <w:szCs w:val="32"/>
          <w:bdr w:val="none" w:color="auto" w:sz="0" w:space="0"/>
        </w:rPr>
        <w:t>(2020年12月1日司法部令第146号公布)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楷体" w:hAnsi="楷体" w:eastAsia="楷体" w:cs="楷体"/>
          <w:sz w:val="32"/>
          <w:szCs w:val="32"/>
          <w:bdr w:val="none" w:color="auto" w:sz="0" w:space="0"/>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bdr w:val="none" w:color="auto" w:sz="0" w:space="0"/>
        </w:rPr>
      </w:pPr>
      <w:bookmarkStart w:id="0" w:name="para3"/>
      <w:bookmarkEnd w:id="0"/>
      <w:r>
        <w:rPr>
          <w:rFonts w:hint="eastAsia" w:ascii="仿宋" w:hAnsi="仿宋" w:eastAsia="仿宋" w:cs="仿宋"/>
          <w:sz w:val="32"/>
          <w:szCs w:val="32"/>
          <w:bdr w:val="none" w:color="auto" w:sz="0" w:space="0"/>
          <w:lang w:val="en-US" w:eastAsia="zh-CN"/>
        </w:rPr>
        <w:t xml:space="preserve"> </w:t>
      </w:r>
      <w:r>
        <w:rPr>
          <w:rFonts w:hint="eastAsia" w:ascii="仿宋" w:hAnsi="仿宋" w:eastAsia="仿宋" w:cs="仿宋"/>
          <w:sz w:val="32"/>
          <w:szCs w:val="32"/>
          <w:bdr w:val="none" w:color="auto" w:sz="0" w:space="0"/>
        </w:rPr>
        <w:t>总则</w:t>
      </w:r>
    </w:p>
    <w:p>
      <w:pPr>
        <w:numPr>
          <w:numId w:val="0"/>
        </w:num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第一条 为规范法律职业资格申请受理、审查核查、审核认定、证书颁发、服务和管理等工作，根据《</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"https://baike.sogou.com/lemma/ShowInnerLink.htm?lemmaId=290045&amp;ss_c=ssc.citiao.link"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中华人民共和国行政许可法</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》等规定，制定本办法。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第二条 </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"https://baike.sogou.com/lemma/ShowInnerLink.htm?lemmaId=269634&amp;ss_c=ssc.citiao.link"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司法行政机关</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实施法律职业资格管理，应当以</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"https://baike.sogou.com/lemma/ShowInnerLink.htm?lemmaId=50854&amp;ss_c=ssc.citiao.link"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习近平</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法治思想为指导，坚持法律职业队伍革命化、正规化、专业化、职业化方向，建设一支高素质的社会主义法律职业队伍。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第三条 司法行政机关实施法律职业资格管理，应当遵循程序规范、高效便民、公开透明、公平公正的原则。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第四条 司法部负责法律职业资格审核认定、法律</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"https://baike.sogou.com/lemma/ShowInnerLink.htm?lemmaId=355487&amp;ss_c=ssc.citiao.link"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职业资格证书</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制作颁发等工作。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省、自治区、直辖市司法行政机关负责本地法律职业资格申请材料的核查、证书的组织发放等工作。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设区的市级司法行政机关负责本地法律职业资格申请材料的受理、审查和证书发放等工作。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第五条 司法行政机关应当加强法律职业资格管理信息化建设，提高在线服务水平。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bdr w:val="none" w:color="auto" w:sz="0" w:space="0"/>
        </w:rPr>
      </w:pPr>
      <w:bookmarkStart w:id="1" w:name="para4"/>
      <w:bookmarkEnd w:id="1"/>
      <w:r>
        <w:rPr>
          <w:rFonts w:hint="eastAsia" w:ascii="仿宋" w:hAnsi="仿宋" w:eastAsia="仿宋" w:cs="仿宋"/>
          <w:sz w:val="32"/>
          <w:szCs w:val="32"/>
          <w:bdr w:val="none" w:color="auto" w:sz="0" w:space="0"/>
        </w:rPr>
        <w:t>第二章 </w:t>
      </w:r>
      <w:r>
        <w:rPr>
          <w:rFonts w:hint="eastAsia" w:ascii="仿宋" w:hAnsi="仿宋" w:eastAsia="仿宋" w:cs="仿宋"/>
          <w:sz w:val="32"/>
          <w:szCs w:val="32"/>
          <w:bdr w:val="none" w:color="auto" w:sz="0" w:space="0"/>
          <w:lang w:val="en-US" w:eastAsia="zh-CN"/>
        </w:rPr>
        <w:t xml:space="preserve">  </w:t>
      </w:r>
      <w:r>
        <w:rPr>
          <w:rFonts w:hint="eastAsia" w:ascii="仿宋" w:hAnsi="仿宋" w:eastAsia="仿宋" w:cs="仿宋"/>
          <w:sz w:val="32"/>
          <w:szCs w:val="32"/>
          <w:bdr w:val="none" w:color="auto" w:sz="0" w:space="0"/>
        </w:rPr>
        <w:t>申请受理和审查、核查</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第六条 司法行政机关统一受理法律职业资格申请，以公告方式确定统一受理日期。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第七条 符合《国家统一法律职业资格考试实施办法》第十八条规定情形的人员，申请授予法律职业资格的(以下简称申请人)，应当在受理期限内通过司法部网站登录法律职业资格管理系统，如实填写申请授予法律职业资格信息，并到设区的市级或者直辖市司法行政机关(以下简称受理机关)指定的工作场所现场提交下列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(一)</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"https://baike.sogou.com/lemma/ShowInnerLink.htm?lemmaId=1551357&amp;ss_c=ssc.citiao.link"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居民身份证</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(二)毕业证书、学位证书或者学历、学位证明书原件;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(三)</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"https://baike.sogou.com/lemma/ShowInnerLink.htm?lemmaId=140692391&amp;ss_c=ssc.citiao.link"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司法部公告</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要求的其他材料。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申请享受放宽政策并达到放宽条件地区合格分数线的申请人，应当向本人</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"https://baike.sogou.com/lemma/ShowInnerLink.htm?lemmaId=51967448&amp;ss_c=ssc.citiao.link"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户籍所在地</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设区的市级司法行政机关申请授予法律职业资格，并现场提交户口簿原件。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申请人应当对其所提交材料的真实性负责。证件原件由受理机关核验并复印或者扫描后退回，复印件或者</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"https://baike.sogou.com/lemma/ShowInnerLink.htm?lemmaId=8630550&amp;ss_c=ssc.citiao.link"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扫描件</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留存归档。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第八条 受理机关收到申请人的申请材料后，应当根据下列情况分别作出处理：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(一)申请材料齐全、符合法定形式的，或者申请人按照受理机关要求提交全部补正申请材料的，应当受理并向申请人出具法律职业资格申请受理单;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(二)申请材料不齐全或者不符合法定形式的，应当当场或者在五个工作日内一次告知申请人需要补正的全部材料及内容;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(三)不符合法律职业资格申请条件的，应当出具不予受理通知书并说明理由。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具有前款第二项规定等情形的，受理机关可以采用个别受理方式受理法律职业资格申请。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第九条 受理机关应当自统一受理之日起对申请人提交的申请材料进行审查，并将书面审查报告与相关申请材料一并报送省级司法行政机关核查。对申请材料不真实或者不符合法律职业资格授予条件的，应当提交不授予法律职业资格的书面报告并说明理由，报省级司法行政机关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省级司法行政机关应当对申请授予法律职业资格人员的申请材料进行核查，提交授予或者不授予法律职业资格的书面核查报告，报司法部审核认定。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受理机关为直辖市司法行政机关的，由该直辖市司法行政机关对申请授予法律职业资格人员的申请材料进行审查、核查，提交授予或者不授予法律职业资格的书面核查报告，报司法部审核认定。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自受理申请至向司法部报送书面核查报告的期限为二十个工作日。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第十条 受理机关应当将申请授予法律职业资格的依据、条件、程序、期限以及需要提交的全部材料的目录和申请书示范文本等在办公场所和网站上公示。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bdr w:val="none" w:color="auto" w:sz="0" w:space="0"/>
        </w:rPr>
      </w:pPr>
      <w:bookmarkStart w:id="2" w:name="para5"/>
      <w:bookmarkEnd w:id="2"/>
      <w:r>
        <w:rPr>
          <w:rFonts w:hint="eastAsia" w:ascii="仿宋" w:hAnsi="仿宋" w:eastAsia="仿宋" w:cs="仿宋"/>
          <w:sz w:val="32"/>
          <w:szCs w:val="32"/>
          <w:bdr w:val="none" w:color="auto" w:sz="0" w:space="0"/>
        </w:rPr>
        <w:t>第三章 </w:t>
      </w:r>
      <w:r>
        <w:rPr>
          <w:rFonts w:hint="eastAsia" w:ascii="仿宋" w:hAnsi="仿宋" w:eastAsia="仿宋" w:cs="仿宋"/>
          <w:sz w:val="32"/>
          <w:szCs w:val="32"/>
          <w:bdr w:val="none" w:color="auto" w:sz="0" w:space="0"/>
          <w:lang w:val="en-US" w:eastAsia="zh-CN"/>
        </w:rPr>
        <w:t xml:space="preserve"> </w:t>
      </w:r>
      <w:r>
        <w:rPr>
          <w:rFonts w:hint="eastAsia" w:ascii="仿宋" w:hAnsi="仿宋" w:eastAsia="仿宋" w:cs="仿宋"/>
          <w:sz w:val="32"/>
          <w:szCs w:val="32"/>
          <w:bdr w:val="none" w:color="auto" w:sz="0" w:space="0"/>
        </w:rPr>
        <w:t>审核认定和证书颁发</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第十一条 司法部应当自收到省级司法行政机关书面核查报告等材料之日起二十个工作日内完成审核认定，根据下列情况分别作出处理：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(一)符合《国家统一法律职业资格考试实施办法》第十八条规定的法律职业资格授予条件的，作出授予法律职业资格的决定，颁发法律职业资格证书;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(二)不符合法律职业资格授予条件的，作出不授予法律职业资格的决定，并说明理由。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按照前款规定期限不能完成审核认定的，经司法部负责人批准，可以延长十个工作日。延长期限的理由以司法部公告统一告知申请人。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第十二条 司法部根据下列情形，授予申请人法律职业资格，并颁发相应的法律职业资格证书：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(一)符合《国家统一法律职业资格考试实施办法》第九条、第二十二条规定的条件，考试成绩达到全国统一合格分数线的，颁发A类法律职业资格证书;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(二)符合《国家统一法律职业资格考试实施办法》第二十三条规定的条件，申请享受放宽政策，考试成绩达到全国统一合格分数线的，颁发B类法律职业资格证书;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(三)符合《国家统一法律职业资格考试实施办法》第九条、第二十二条、第二十三条规定的条件，申请享受放宽政策，考试成绩达到放宽条件地区合格分数线的，颁发C类法律职业资格证书。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第十三条 司法部应当自作出授予法律职业资格决定之日起十个工作日内颁发法律职业资格证书。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省、自治区、直辖市司法行政机关具体负责法律职业资格证书的组织发放，并将相关情况载入档案。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第十四条 取得C类法律职业资格证书人员，重新参加</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"https://baike.sogou.com/lemma/ShowInnerLink.htm?lemmaId=119274141&amp;ss_c=ssc.citiao.link"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国家统一法律职业资格考试</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，达到全国统一合格分数线的，可以申请授予A类或者B类法律职业资格证书，并向司法行政机关交回已取得的C类法律职业资格证书，原证书自作出授予新的法律职业资格决定之日起自动失效。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第十五条 A类法律职业资格证书在全国范围内有效。B类和C类法律职业资格证书的适用范围，由国家统一法律职业资格考试协调委员会确定。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取得B类法律职业资格证书人员，在获得《国家统一法律职业资格考试实施办法》第九条规定的专业学历条件后，其B类法律职业资格证书在全国范围内有效。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第十六条 法律职业资格证书采用纸质证书和</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"https://baike.sogou.com/lemma/ShowInnerLink.htm?lemmaId=71558&amp;ss_c=ssc.citiao.link"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电子证书</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形式，由设区的市级及以上司法行政机关实施管理。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法律职业资格证书的样式，由司法部统一制定。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法律职业资格纸质证书与电子证书具有同等法律效力。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第十七条 取得法律职业资格人员应当妥善保管和使用法律职业资格证书，不得涂改、倒卖、出租、出借和转让。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第十八条 取得法律职业资格人员遗失、损毁纸质证书的，可以向设区的市级司法行政机关申请办理法律职业资格证明书。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bdr w:val="none" w:color="auto" w:sz="0" w:space="0"/>
        </w:rPr>
      </w:pPr>
      <w:r>
        <w:rPr>
          <w:rFonts w:hint="eastAsia" w:ascii="仿宋" w:hAnsi="仿宋" w:eastAsia="仿宋" w:cs="仿宋"/>
          <w:sz w:val="32"/>
          <w:szCs w:val="32"/>
          <w:bdr w:val="none" w:color="auto" w:sz="0" w:space="0"/>
        </w:rPr>
        <w:t>法律职业资格证明书与法律职业资格证书具有同等法律效力。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bdr w:val="none" w:color="auto" w:sz="0" w:space="0"/>
          <w:lang w:eastAsia="zh-CN"/>
        </w:rPr>
      </w:pP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bdr w:val="none" w:color="auto" w:sz="0" w:space="0"/>
        </w:rPr>
      </w:pPr>
      <w:bookmarkStart w:id="3" w:name="para6"/>
      <w:bookmarkEnd w:id="3"/>
      <w:r>
        <w:rPr>
          <w:rFonts w:hint="eastAsia" w:ascii="仿宋" w:hAnsi="仿宋" w:eastAsia="仿宋" w:cs="仿宋"/>
          <w:sz w:val="32"/>
          <w:szCs w:val="32"/>
          <w:bdr w:val="none" w:color="auto" w:sz="0" w:space="0"/>
          <w:lang w:val="en-US" w:eastAsia="zh-CN"/>
        </w:rPr>
        <w:t xml:space="preserve"> </w:t>
      </w:r>
      <w:r>
        <w:rPr>
          <w:rFonts w:hint="eastAsia" w:ascii="仿宋" w:hAnsi="仿宋" w:eastAsia="仿宋" w:cs="仿宋"/>
          <w:sz w:val="32"/>
          <w:szCs w:val="32"/>
          <w:bdr w:val="none" w:color="auto" w:sz="0" w:space="0"/>
        </w:rPr>
        <w:t>服务和管理</w:t>
      </w:r>
    </w:p>
    <w:p>
      <w:pPr>
        <w:numPr>
          <w:numId w:val="0"/>
        </w:num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第十九条 </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"https://baike.sogou.com/lemma/ShowInnerLink.htm?lemmaId=269634&amp;ss_c=ssc.citiao.link"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司法行政机关</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应当建立取得法律职业资格人员档案，实行</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"https://baike.sogou.com/lemma/ShowInnerLink.htm?lemmaId=554777&amp;ss_c=ssc.citiao.link"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纸质档案</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和电子档案形式，由设区的市级及以上司法行政机关管理，并及时记载、更新相关信息。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档案主要记载下列内容：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(一)考试报名信息、本办法第七条规定的相关申请材料;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(二)法律</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"https://baike.sogou.com/lemma/ShowInnerLink.htm?lemmaId=355487&amp;ss_c=ssc.citiao.link"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职业资格证书</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种类、取得时间和撤销、注销法律职业资格情况;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(三)调转档案情况;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(四)办理法律职业资格证明书情况;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(五)参加</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"https://baike.sogou.com/lemma/ShowInnerLink.htm?lemmaId=7975696&amp;ss_c=ssc.citiao.link"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职前培训</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(六)其他应当载入档案的情况。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第二十条 司法部公布授予法律职业资格有关信息，供有关部门和社会公众查询。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第二十一条 取得法律职业资格人员需要调转档案的，由本人通过法律职业资格管理系统向调入地司法行政机关提出申请，办理变更手续。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第二十二条 通过贿赂或者使用虚假身份证件、学历和学位证件以及其他证明文件等不正当手段取得法律职业资格的，由司法部依法予以撤销，并办理注销手续。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具有前款规定情形的，依法移送有关部门追究法律责任。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第二十三条 伪造、变造或者使用伪造、变造的法律职业资格证书、法律职业资格证明书的，依法追究法律责任。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第二十四条 司法行政机关作出不予受理申请、不予授予法律职业资格或者撤销法律职业资格等处理决定的，应当告知相对人享有依法申请行政复议或者提起行政诉讼的权利。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b/>
          <w:kern w:val="0"/>
          <w:sz w:val="32"/>
          <w:szCs w:val="32"/>
          <w:lang w:val="en-US" w:eastAsia="zh-CN" w:bidi="ar"/>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仿宋" w:hAnsi="仿宋" w:eastAsia="仿宋" w:cs="仿宋"/>
          <w:b/>
          <w:kern w:val="0"/>
          <w:sz w:val="32"/>
          <w:szCs w:val="32"/>
          <w:lang w:val="en-US" w:eastAsia="zh-CN" w:bidi="ar"/>
        </w:rPr>
      </w:pPr>
      <w:r>
        <w:rPr>
          <w:rFonts w:hint="eastAsia" w:ascii="仿宋" w:hAnsi="仿宋" w:eastAsia="仿宋" w:cs="仿宋"/>
          <w:b/>
          <w:kern w:val="0"/>
          <w:sz w:val="32"/>
          <w:szCs w:val="32"/>
          <w:lang w:val="en-US" w:eastAsia="zh-CN" w:bidi="ar"/>
        </w:rPr>
        <w:t>附则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仿宋" w:hAnsi="仿宋" w:eastAsia="仿宋" w:cs="仿宋"/>
          <w:b/>
          <w:kern w:val="0"/>
          <w:sz w:val="32"/>
          <w:szCs w:val="32"/>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第二十五条 参加国家统一法律职业资格考试成绩合格的港澳台居民，申请授予法律职业资格及其管理，适用本办法。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第二十六条 实行国家统一法律职业资格考试前取得的法律职业资格证书、律师资格凭证，与参加国家统一法律职业资格考试取得的法律职业资格证书具有同等法律效力。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对参加</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"https://baike.sogou.com/lemma/ShowInnerLink.htm?lemmaId=183803117&amp;ss_c=ssc.citiao.link"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国家司法考试</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取得的法律职业资格的管理，适用本办法。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第二十七条 本办法由司法部负责解释。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第二十八条 本办法自2021年1月1日起施行。2002年7月8日公布的《</w:t>
      </w:r>
      <w:r>
        <w:rPr>
          <w:rFonts w:hint="eastAsia" w:ascii="仿宋" w:hAnsi="仿宋" w:eastAsia="仿宋" w:cs="仿宋"/>
          <w:color w:val="3366CC"/>
          <w:sz w:val="32"/>
          <w:szCs w:val="32"/>
          <w:u w:val="none"/>
          <w:bdr w:val="none" w:color="auto" w:sz="0" w:space="0"/>
        </w:rPr>
        <w:fldChar w:fldCharType="begin"/>
      </w:r>
      <w:r>
        <w:rPr>
          <w:rFonts w:hint="eastAsia" w:ascii="仿宋" w:hAnsi="仿宋" w:eastAsia="仿宋" w:cs="仿宋"/>
          <w:color w:val="3366CC"/>
          <w:sz w:val="32"/>
          <w:szCs w:val="32"/>
          <w:u w:val="none"/>
          <w:bdr w:val="none" w:color="auto" w:sz="0" w:space="0"/>
        </w:rPr>
        <w:instrText xml:space="preserve"> HYPERLINK "https://baike.sogou.com/lemma/ShowInnerLink.htm?lemmaId=7631374&amp;ss_c=ssc.citiao.link" \t "https://baike.sogou.com/_blank" </w:instrText>
      </w:r>
      <w:r>
        <w:rPr>
          <w:rFonts w:hint="eastAsia" w:ascii="仿宋" w:hAnsi="仿宋" w:eastAsia="仿宋" w:cs="仿宋"/>
          <w:color w:val="3366CC"/>
          <w:sz w:val="32"/>
          <w:szCs w:val="32"/>
          <w:u w:val="none"/>
          <w:bdr w:val="none" w:color="auto" w:sz="0" w:space="0"/>
        </w:rPr>
        <w:fldChar w:fldCharType="separate"/>
      </w:r>
      <w:r>
        <w:rPr>
          <w:rStyle w:val="6"/>
          <w:rFonts w:hint="eastAsia" w:ascii="仿宋" w:hAnsi="仿宋" w:eastAsia="仿宋" w:cs="仿宋"/>
          <w:color w:val="3366CC"/>
          <w:sz w:val="32"/>
          <w:szCs w:val="32"/>
          <w:u w:val="none"/>
          <w:bdr w:val="none" w:color="auto" w:sz="0" w:space="0"/>
        </w:rPr>
        <w:t>法律职业资格证书管理办法</w:t>
      </w:r>
      <w:r>
        <w:rPr>
          <w:rFonts w:hint="eastAsia" w:ascii="仿宋" w:hAnsi="仿宋" w:eastAsia="仿宋" w:cs="仿宋"/>
          <w:color w:val="3366CC"/>
          <w:sz w:val="32"/>
          <w:szCs w:val="32"/>
          <w:u w:val="none"/>
          <w:bdr w:val="none" w:color="auto" w:sz="0" w:space="0"/>
        </w:rPr>
        <w:fldChar w:fldCharType="end"/>
      </w:r>
      <w:r>
        <w:rPr>
          <w:rFonts w:hint="eastAsia" w:ascii="仿宋" w:hAnsi="仿宋" w:eastAsia="仿宋" w:cs="仿宋"/>
          <w:sz w:val="32"/>
          <w:szCs w:val="32"/>
          <w:bdr w:val="none" w:color="auto" w:sz="0" w:space="0"/>
        </w:rPr>
        <w:t>》(司法部令第74号)同时废止。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汉仪黑荔枝体简">
    <w:panose1 w:val="00020600040101010101"/>
    <w:charset w:val="86"/>
    <w:family w:val="auto"/>
    <w:pitch w:val="default"/>
    <w:sig w:usb0="A00002BF" w:usb1="18EF7CFA" w:usb2="00000016" w:usb3="00000000" w:csb0="0004009F" w:csb1="DFD70000"/>
  </w:font>
  <w:font w:name="汉仪菱心体简">
    <w:panose1 w:val="02010400000101010101"/>
    <w:charset w:val="86"/>
    <w:family w:val="auto"/>
    <w:pitch w:val="default"/>
    <w:sig w:usb0="00000001" w:usb1="080E0800" w:usb2="00000002" w:usb3="00000000" w:csb0="00140001" w:csb1="00000000"/>
  </w:font>
  <w:font w:name="汉仪雅酷黑W">
    <w:panose1 w:val="00020600040101010101"/>
    <w:charset w:val="86"/>
    <w:family w:val="auto"/>
    <w:pitch w:val="default"/>
    <w:sig w:usb0="A00002BF" w:usb1="1AC17CFA" w:usb2="00000016" w:usb3="00000000" w:csb0="0004009F" w:csb1="DFD70000"/>
  </w:font>
  <w:font w:name="汉仪唐美人简">
    <w:panose1 w:val="00020600040101010101"/>
    <w:charset w:val="86"/>
    <w:family w:val="auto"/>
    <w:pitch w:val="default"/>
    <w:sig w:usb0="8000002F" w:usb1="4A01780A" w:usb2="00000016" w:usb3="00000000" w:csb0="0004009F" w:csb1="00000000"/>
  </w:font>
  <w:font w:name="汉仪青云简">
    <w:panose1 w:val="00020600040101010101"/>
    <w:charset w:val="86"/>
    <w:family w:val="auto"/>
    <w:pitch w:val="default"/>
    <w:sig w:usb0="8000001F" w:usb1="1A0F781A" w:usb2="00000016"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27182"/>
    <w:multiLevelType w:val="singleLevel"/>
    <w:tmpl w:val="9CE27182"/>
    <w:lvl w:ilvl="0" w:tentative="0">
      <w:start w:val="4"/>
      <w:numFmt w:val="chineseCounting"/>
      <w:suff w:val="space"/>
      <w:lvlText w:val="第%1章"/>
      <w:lvlJc w:val="left"/>
      <w:rPr>
        <w:rFonts w:hint="eastAsia"/>
      </w:rPr>
    </w:lvl>
  </w:abstractNum>
  <w:abstractNum w:abstractNumId="1">
    <w:nsid w:val="A7510AFC"/>
    <w:multiLevelType w:val="singleLevel"/>
    <w:tmpl w:val="A7510AFC"/>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C4407"/>
    <w:rsid w:val="25EC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2021-01-27T02:55:00Z</dcterms:created>
  <dc:creator>sjy</dc:creator>
  <cp:lastModifiedBy>sjy</cp:lastModifiedBy>
  <dcterms:modified xsi:type="dcterms:W3CDTF">2021-01-27T02:59:16Z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575859270_cloud</vt:lpwstr>
  </property>
</Properties>
</file>